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775" cy="609600"/>
                <wp:effectExtent l="0" t="0" r="0" b="0"/>
                <wp:docPr id="1" name="_x0000_i102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775" cy="609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5pt;height:48.0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  <w:t xml:space="preserve">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spacing w:val="-9"/>
          <w:sz w:val="28"/>
          <w:szCs w:val="28"/>
        </w:rPr>
      </w:pPr>
      <w:r>
        <w:rPr>
          <w:spacing w:val="-7"/>
          <w:sz w:val="28"/>
          <w:szCs w:val="28"/>
          <w:lang w:val="uk-UA"/>
        </w:rPr>
        <w:t xml:space="preserve">11 червня </w:t>
      </w:r>
      <w:r>
        <w:rPr>
          <w:spacing w:val="-7"/>
          <w:sz w:val="28"/>
          <w:szCs w:val="28"/>
        </w:rPr>
        <w:t xml:space="preserve">202</w:t>
      </w:r>
      <w:r>
        <w:rPr>
          <w:spacing w:val="-7"/>
          <w:sz w:val="28"/>
          <w:szCs w:val="28"/>
          <w:lang w:val="uk-UA"/>
        </w:rPr>
        <w:t xml:space="preserve">6</w:t>
      </w:r>
      <w:r>
        <w:rPr>
          <w:spacing w:val="-9"/>
          <w:sz w:val="28"/>
          <w:szCs w:val="28"/>
        </w:rPr>
        <w:t xml:space="preserve"> року        </w:t>
      </w:r>
      <w:r>
        <w:rPr>
          <w:spacing w:val="-9"/>
          <w:sz w:val="28"/>
          <w:szCs w:val="28"/>
          <w:lang w:val="uk-UA"/>
        </w:rPr>
        <w:t xml:space="preserve">                   м.</w:t>
      </w:r>
      <w:r>
        <w:rPr>
          <w:spacing w:val="-7"/>
          <w:sz w:val="28"/>
          <w:szCs w:val="28"/>
          <w:lang w:val="uk-UA"/>
        </w:rPr>
        <w:t xml:space="preserve"> Берестин </w:t>
      </w:r>
      <w:r>
        <w:rPr>
          <w:spacing w:val="-9"/>
          <w:sz w:val="28"/>
          <w:szCs w:val="28"/>
        </w:rPr>
        <w:tab/>
        <w:t xml:space="preserve">       </w:t>
      </w:r>
      <w:r>
        <w:rPr>
          <w:spacing w:val="-9"/>
          <w:sz w:val="28"/>
          <w:szCs w:val="28"/>
        </w:rPr>
        <w:tab/>
      </w:r>
      <w:r>
        <w:rPr>
          <w:spacing w:val="-9"/>
          <w:sz w:val="28"/>
          <w:szCs w:val="28"/>
        </w:rPr>
        <w:tab/>
        <w:t xml:space="preserve">   </w:t>
      </w:r>
      <w:r>
        <w:rPr>
          <w:spacing w:val="-9"/>
          <w:sz w:val="28"/>
          <w:szCs w:val="28"/>
          <w:lang w:val="uk-UA"/>
        </w:rPr>
        <w:t xml:space="preserve">                   </w:t>
      </w:r>
      <w:r>
        <w:rPr>
          <w:spacing w:val="-9"/>
          <w:sz w:val="28"/>
          <w:szCs w:val="28"/>
        </w:rPr>
        <w:t xml:space="preserve">№</w:t>
      </w:r>
      <w:r>
        <w:rPr>
          <w:spacing w:val="-9"/>
          <w:sz w:val="28"/>
          <w:szCs w:val="28"/>
          <w:lang w:val="uk-UA"/>
        </w:rPr>
        <w:t xml:space="preserve"> </w:t>
      </w: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  <w:lang w:val="en-US"/>
        </w:rPr>
        <w:t xml:space="preserve">367</w:t>
      </w:r>
      <w:r>
        <w:rPr>
          <w:spacing w:val="-9"/>
          <w:sz w:val="28"/>
          <w:szCs w:val="28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виконання заходів з благоустрою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межах всеукраїнської акції «За чисте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довкілля» та дня благоустрою  на території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населених пунктів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Відповідно до статті 17, підпункту 7 пункту «а» статті 30 Закону України «Про місцеве самоврядування в Україні», керуючись статтею 15 Закону України «Про благоустрій на</w:t>
      </w:r>
      <w:r>
        <w:rPr>
          <w:sz w:val="28"/>
          <w:szCs w:val="28"/>
          <w:lang w:val="uk-UA"/>
        </w:rPr>
        <w:t xml:space="preserve">селених пунктів», розпорядження Кабінету Міністрів України від 31 березня 2010 року №777-р «Деякі питання проведення щорічної всеукраїнської акції «За чисте довкілля» та дня благоустрою територій населених пунктів» (зі змінами), на виконання рекомендацій Д</w:t>
      </w:r>
      <w:r>
        <w:rPr>
          <w:sz w:val="28"/>
          <w:szCs w:val="28"/>
          <w:lang w:val="uk-UA"/>
        </w:rPr>
        <w:t xml:space="preserve">епартаменту захисту довкілля та природокористування Харківської обласної військової адміністрації від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27 березня 2026 року №04.02-14/873 щодо долучення до щорічної всеукраїнської акції з благоустрою «За чисте довкілля» та Дня благоустрою територій населени</w:t>
      </w:r>
      <w:r>
        <w:rPr>
          <w:sz w:val="28"/>
          <w:szCs w:val="28"/>
          <w:lang w:val="uk-UA"/>
        </w:rPr>
        <w:t xml:space="preserve">х пунктів, </w:t>
      </w:r>
      <w:r>
        <w:rPr>
          <w:sz w:val="28"/>
          <w:szCs w:val="28"/>
          <w:lang w:val="uk-UA"/>
        </w:rPr>
        <w:t xml:space="preserve"> на виконання рішення вико</w:t>
      </w:r>
      <w:r>
        <w:rPr>
          <w:sz w:val="28"/>
          <w:szCs w:val="28"/>
          <w:lang w:val="uk-UA"/>
        </w:rPr>
        <w:t xml:space="preserve">навчого комітету Берестинської міської ради від 12.03.2026 № 150 «Про організацію проведення щорічної акції «За чисте довкілля» та дня благоустрою територій населених пунктів міської ради», з метою забезпечення утримання територій населених пунктів Берести</w:t>
      </w:r>
      <w:r>
        <w:rPr>
          <w:sz w:val="28"/>
          <w:szCs w:val="28"/>
          <w:lang w:val="uk-UA"/>
        </w:rPr>
        <w:t xml:space="preserve">нської міської ради в належному стані, їх санітарне очищення та створення умов сприятливих для життєдіяльності населення, виконавчий комітет Берестинської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9"/>
        <w:pBdr/>
        <w:spacing/>
        <w:ind w:firstLine="720"/>
        <w:rPr>
          <w:szCs w:val="28"/>
        </w:rPr>
      </w:pPr>
      <w:r>
        <w:rPr>
          <w:szCs w:val="28"/>
        </w:rPr>
        <w:t xml:space="preserve">1. Взяти до відома </w:t>
      </w:r>
      <w:r>
        <w:rPr>
          <w:szCs w:val="28"/>
          <w:lang w:val="ru-RU"/>
        </w:rPr>
        <w:t xml:space="preserve">звіт про </w:t>
      </w:r>
      <w:r>
        <w:rPr>
          <w:szCs w:val="28"/>
        </w:rPr>
        <w:t xml:space="preserve"> результати проведення щорічної  всеукраїнс</w:t>
      </w:r>
      <w:r>
        <w:rPr>
          <w:szCs w:val="28"/>
        </w:rPr>
        <w:t xml:space="preserve">ької акції «За чисте довкілля» та дня благоустрою (додається).</w:t>
      </w:r>
      <w:r>
        <w:rPr>
          <w:szCs w:val="28"/>
        </w:rPr>
      </w:r>
      <w:r>
        <w:rPr>
          <w:szCs w:val="28"/>
        </w:rPr>
      </w:r>
    </w:p>
    <w:p>
      <w:pPr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Керівникам підприємств, установ, організацій, розміщених на території міста, забезпечити підтримання у належному санітарному стані закріплених територій, постійно проводити їх благоустрій та</w:t>
      </w:r>
      <w:r>
        <w:rPr>
          <w:sz w:val="28"/>
          <w:szCs w:val="28"/>
          <w:lang w:val="uk-UA"/>
        </w:rPr>
        <w:t xml:space="preserve"> озеленення.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714"/>
        <w:pBdr/>
        <w:tabs>
          <w:tab w:val="left" w:leader="none" w:pos="1860"/>
          <w:tab w:val="center" w:leader="none" w:pos="4678"/>
        </w:tabs>
        <w:spacing/>
        <w:ind w:right="-2"/>
        <w:jc w:val="both"/>
        <w:rPr>
          <w:szCs w:val="28"/>
        </w:rPr>
      </w:pPr>
      <w:r>
        <w:t xml:space="preserve">          3. </w:t>
      </w:r>
      <w:r>
        <w:rPr>
          <w:szCs w:val="28"/>
        </w:rPr>
        <w:t xml:space="preserve">Контроль за виконанням рішення покласти на заступника міського голови з питань  діяльності виконавчих органів Валерія ЖУРАВСЬКОГО.</w:t>
      </w:r>
      <w:r>
        <w:rPr>
          <w:szCs w:val="28"/>
        </w:rPr>
      </w:r>
      <w:r>
        <w:rPr>
          <w:szCs w:val="28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 w:firstLine="567"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 </w:t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                  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</w:t>
      </w:r>
      <w:r>
        <w:rPr>
          <w:sz w:val="24"/>
          <w:szCs w:val="24"/>
          <w:lang w:val="uk-UA"/>
        </w:rPr>
        <w:t xml:space="preserve">         </w:t>
      </w:r>
      <w:r>
        <w:rPr>
          <w:sz w:val="24"/>
          <w:szCs w:val="24"/>
        </w:rPr>
        <w:t xml:space="preserve">Додаток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firstLine="5040"/>
        <w:rPr>
          <w:sz w:val="24"/>
          <w:szCs w:val="24"/>
        </w:rPr>
      </w:pPr>
      <w:r>
        <w:rPr>
          <w:sz w:val="24"/>
          <w:szCs w:val="24"/>
        </w:rPr>
        <w:t xml:space="preserve">до рішення виконавчого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firstLine="5040"/>
        <w:rPr>
          <w:sz w:val="24"/>
          <w:szCs w:val="24"/>
        </w:rPr>
      </w:pPr>
      <w:r>
        <w:rPr>
          <w:sz w:val="24"/>
          <w:szCs w:val="24"/>
        </w:rPr>
        <w:t xml:space="preserve">комітету </w:t>
      </w:r>
      <w:r>
        <w:rPr>
          <w:sz w:val="24"/>
          <w:szCs w:val="24"/>
          <w:lang w:val="uk-UA"/>
        </w:rPr>
        <w:t xml:space="preserve">Берестинської </w:t>
      </w:r>
      <w:r>
        <w:rPr>
          <w:sz w:val="24"/>
          <w:szCs w:val="24"/>
        </w:rPr>
        <w:t xml:space="preserve">міської ради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firstLine="5040"/>
        <w:rPr>
          <w:sz w:val="24"/>
          <w:szCs w:val="24"/>
          <w:lang w:val="uk-UA"/>
        </w:rPr>
      </w:pPr>
      <w:r>
        <w:rPr>
          <w:sz w:val="24"/>
          <w:szCs w:val="24"/>
        </w:rPr>
        <w:t xml:space="preserve">від </w:t>
      </w:r>
      <w:r>
        <w:rPr>
          <w:sz w:val="24"/>
          <w:szCs w:val="24"/>
          <w:lang w:val="uk-UA"/>
        </w:rPr>
        <w:t xml:space="preserve">11 червня </w:t>
      </w:r>
      <w:r>
        <w:rPr>
          <w:sz w:val="24"/>
          <w:szCs w:val="24"/>
        </w:rPr>
        <w:t xml:space="preserve">202</w:t>
      </w:r>
      <w:r>
        <w:rPr>
          <w:sz w:val="24"/>
          <w:szCs w:val="24"/>
          <w:lang w:val="uk-UA"/>
        </w:rPr>
        <w:t xml:space="preserve">6 року</w:t>
      </w:r>
      <w:r>
        <w:rPr>
          <w:sz w:val="24"/>
          <w:szCs w:val="24"/>
        </w:rPr>
        <w:t xml:space="preserve"> № </w:t>
      </w:r>
      <w:r>
        <w:rPr>
          <w:sz w:val="24"/>
          <w:szCs w:val="24"/>
          <w:lang w:val="en-US"/>
        </w:rPr>
        <w:t xml:space="preserve">367</w:t>
      </w:r>
      <w:r>
        <w:rPr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</w:r>
      <w:r>
        <w:rPr>
          <w:b/>
          <w:sz w:val="26"/>
          <w:szCs w:val="26"/>
          <w:lang w:val="uk-UA"/>
        </w:rPr>
      </w:r>
      <w:r>
        <w:rPr>
          <w:b/>
          <w:sz w:val="26"/>
          <w:szCs w:val="26"/>
          <w:lang w:val="uk-UA"/>
        </w:rPr>
      </w:r>
    </w:p>
    <w:p>
      <w:pPr>
        <w:pBdr/>
        <w:spacing/>
        <w:ind/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</w:r>
      <w:r>
        <w:rPr>
          <w:b/>
          <w:sz w:val="26"/>
          <w:szCs w:val="26"/>
          <w:lang w:val="uk-UA"/>
        </w:rPr>
      </w:r>
      <w:r>
        <w:rPr>
          <w:b/>
          <w:sz w:val="26"/>
          <w:szCs w:val="26"/>
          <w:lang w:val="uk-UA"/>
        </w:rPr>
      </w:r>
    </w:p>
    <w:p>
      <w:pPr>
        <w:pBdr/>
        <w:spacing/>
        <w:ind/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ЗВІТ</w:t>
      </w:r>
      <w:r>
        <w:rPr>
          <w:b/>
          <w:sz w:val="26"/>
          <w:szCs w:val="26"/>
          <w:lang w:val="uk-UA"/>
        </w:rPr>
      </w:r>
      <w:r>
        <w:rPr>
          <w:b/>
          <w:sz w:val="26"/>
          <w:szCs w:val="26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результати проведення щорічної  всеукраїнської акції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«За чисте довкілля»  та Дня благоустрою територій населених пунктів міської ради у період </w:t>
      </w:r>
      <w:r>
        <w:rPr>
          <w:b/>
          <w:color w:val="ff0000"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квітня-травня  2026 року</w:t>
      </w:r>
      <w:r>
        <w:rPr>
          <w:b/>
          <w:color w:val="ff0000"/>
          <w:sz w:val="28"/>
          <w:szCs w:val="28"/>
          <w:lang w:val="uk-UA"/>
        </w:rPr>
        <w:t xml:space="preserve"> </w:t>
      </w:r>
      <w:r>
        <w:rPr>
          <w:b/>
          <w:color w:val="ff0000"/>
          <w:sz w:val="28"/>
          <w:szCs w:val="28"/>
        </w:rPr>
      </w:r>
      <w:r>
        <w:rPr>
          <w:b/>
          <w:color w:val="ff0000"/>
          <w:sz w:val="28"/>
          <w:szCs w:val="28"/>
        </w:rPr>
      </w:r>
    </w:p>
    <w:p>
      <w:pPr>
        <w:pBdr/>
        <w:spacing/>
        <w:ind/>
        <w:jc w:val="center"/>
        <w:rPr>
          <w:color w:val="ff0000"/>
          <w:szCs w:val="28"/>
        </w:rPr>
      </w:pPr>
      <w:r>
        <w:rPr>
          <w:color w:val="ff0000"/>
          <w:szCs w:val="28"/>
        </w:rPr>
      </w:r>
      <w:r>
        <w:rPr>
          <w:color w:val="ff0000"/>
          <w:szCs w:val="28"/>
        </w:rPr>
      </w:r>
      <w:r>
        <w:rPr>
          <w:color w:val="ff0000"/>
          <w:szCs w:val="28"/>
        </w:rPr>
      </w:r>
    </w:p>
    <w:p>
      <w:pPr>
        <w:pStyle w:val="919"/>
        <w:pBdr/>
        <w:spacing/>
        <w:ind/>
        <w:rPr>
          <w:szCs w:val="28"/>
        </w:rPr>
      </w:pPr>
      <w:r>
        <w:rPr>
          <w:szCs w:val="28"/>
        </w:rPr>
        <w:t xml:space="preserve">      </w:t>
      </w:r>
      <w:r>
        <w:t xml:space="preserve">      На виконання розпорядження Кабінету Міністрів України від 31.03.2010 № 777-р «Деякі питання проведення щорічної всеукраїнської акції з благоустрою «За чисте довкілля»»</w:t>
      </w:r>
      <w:r>
        <w:t xml:space="preserve">, </w:t>
      </w:r>
      <w:r>
        <w:rPr>
          <w:szCs w:val="28"/>
        </w:rPr>
        <w:t xml:space="preserve">рішення виконавчого комітету Берестинської міської ради від 12.03.2026 № 150 «Про організацію проведення щорічної акції «За чисте довкілля» та дня благоустрою територій населених пунктів міської ради»</w:t>
      </w:r>
      <w:r>
        <w:rPr>
          <w:szCs w:val="28"/>
        </w:rPr>
        <w:t xml:space="preserve">,  </w:t>
      </w:r>
      <w:r>
        <w:rPr>
          <w:szCs w:val="28"/>
        </w:rPr>
        <w:t xml:space="preserve">у</w:t>
      </w:r>
      <w:r>
        <w:rPr>
          <w:szCs w:val="28"/>
        </w:rPr>
        <w:t xml:space="preserve"> квітн</w:t>
      </w:r>
      <w:r>
        <w:rPr>
          <w:szCs w:val="28"/>
        </w:rPr>
        <w:t xml:space="preserve">і місяці поточного року</w:t>
      </w:r>
      <w:r>
        <w:rPr>
          <w:szCs w:val="28"/>
        </w:rPr>
        <w:t xml:space="preserve"> розпочалася щорічна всеукраїнська акція «За чисте довкілля».</w:t>
      </w:r>
      <w:r>
        <w:rPr>
          <w:szCs w:val="28"/>
        </w:rPr>
      </w:r>
      <w:r>
        <w:rPr>
          <w:szCs w:val="28"/>
        </w:rPr>
      </w:r>
    </w:p>
    <w:p>
      <w:pPr>
        <w:pStyle w:val="919"/>
        <w:pBdr/>
        <w:spacing/>
        <w:ind/>
        <w:rPr>
          <w:szCs w:val="28"/>
        </w:rPr>
      </w:pPr>
      <w:r>
        <w:rPr>
          <w:color w:val="ff0000"/>
          <w:szCs w:val="28"/>
        </w:rPr>
        <w:t xml:space="preserve">      </w:t>
      </w:r>
      <w:r>
        <w:rPr>
          <w:szCs w:val="28"/>
        </w:rPr>
        <w:t xml:space="preserve">Всім керівникам підприємств, установ та старостинськи</w:t>
      </w:r>
      <w:r>
        <w:rPr>
          <w:szCs w:val="28"/>
        </w:rPr>
        <w:t xml:space="preserve">м</w:t>
      </w:r>
      <w:r>
        <w:rPr>
          <w:szCs w:val="28"/>
        </w:rPr>
        <w:t xml:space="preserve"> округ</w:t>
      </w:r>
      <w:r>
        <w:rPr>
          <w:szCs w:val="28"/>
        </w:rPr>
        <w:t xml:space="preserve">ам</w:t>
      </w:r>
      <w:bookmarkStart w:id="0" w:name="_GoBack"/>
      <w:r/>
      <w:bookmarkEnd w:id="0"/>
      <w:r>
        <w:rPr>
          <w:szCs w:val="28"/>
        </w:rPr>
        <w:t xml:space="preserve">, які знаходят</w:t>
      </w:r>
      <w:r>
        <w:rPr>
          <w:szCs w:val="28"/>
        </w:rPr>
        <w:t xml:space="preserve">ься на території Берестинської міської </w:t>
      </w:r>
      <w:r>
        <w:rPr>
          <w:szCs w:val="28"/>
        </w:rPr>
        <w:t xml:space="preserve">територіальної громади,</w:t>
      </w:r>
      <w:r>
        <w:rPr>
          <w:szCs w:val="28"/>
        </w:rPr>
        <w:t xml:space="preserve"> було </w:t>
      </w:r>
      <w:r>
        <w:rPr>
          <w:szCs w:val="28"/>
        </w:rPr>
        <w:t xml:space="preserve">доручено</w:t>
      </w:r>
      <w:r>
        <w:rPr>
          <w:szCs w:val="28"/>
        </w:rPr>
        <w:t xml:space="preserve"> розпочати на закріплених територіях та на територіях господарювання роботу з підготовки та проведення щорічної всеукраїнської акції «За чисте довкілля».</w:t>
      </w:r>
      <w:r>
        <w:rPr>
          <w:szCs w:val="28"/>
        </w:rPr>
      </w:r>
      <w:r>
        <w:rPr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При перевірці території Берести</w:t>
      </w:r>
      <w:r>
        <w:rPr>
          <w:sz w:val="28"/>
          <w:szCs w:val="28"/>
          <w:lang w:val="uk-UA"/>
        </w:rPr>
        <w:t xml:space="preserve">нської міської ради та згідно звітів підприємств, установ та старостинських округів прибрано: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b/>
          <w:bCs/>
          <w:color w:val="ff0000"/>
        </w:rPr>
      </w:pPr>
      <w:r>
        <w:rPr>
          <w:b/>
          <w:bCs/>
          <w:color w:val="ff0000"/>
        </w:rPr>
      </w:r>
      <w:r>
        <w:rPr>
          <w:b/>
          <w:bCs/>
          <w:color w:val="ff0000"/>
        </w:rPr>
      </w:r>
      <w:r>
        <w:rPr>
          <w:b/>
          <w:bCs/>
          <w:color w:val="ff0000"/>
        </w:rPr>
      </w:r>
    </w:p>
    <w:tbl>
      <w:tblPr>
        <w:tblW w:w="96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3393"/>
        <w:gridCol w:w="1134"/>
        <w:gridCol w:w="1842"/>
        <w:gridCol w:w="1418"/>
        <w:gridCol w:w="1276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4"/>
                <w:szCs w:val="24"/>
              </w:rPr>
            </w:pPr>
            <w:r>
              <w:t xml:space="preserve">№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4"/>
                <w:szCs w:val="24"/>
              </w:rPr>
            </w:pPr>
            <w:r>
              <w:t xml:space="preserve">Найменування заходів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4"/>
                <w:szCs w:val="24"/>
              </w:rPr>
            </w:pPr>
            <w:r>
              <w:t xml:space="preserve">Один. виміру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4"/>
                <w:szCs w:val="24"/>
              </w:rPr>
            </w:pPr>
            <w:r>
              <w:t xml:space="preserve">Загальна кількість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pBdr/>
              <w:spacing/>
              <w:ind w:right="-55" w:left="-108"/>
              <w:jc w:val="center"/>
              <w:rPr>
                <w:rFonts w:eastAsia="Calibri"/>
                <w:sz w:val="24"/>
                <w:szCs w:val="24"/>
              </w:rPr>
            </w:pPr>
            <w:r>
              <w:t xml:space="preserve">(</w:t>
            </w:r>
            <w:r>
              <w:rPr>
                <w:b/>
                <w:bCs/>
              </w:rPr>
              <w:t xml:space="preserve">всього</w:t>
            </w:r>
            <w:r>
              <w:t xml:space="preserve"> в населених пунктах регіону)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/>
              <w:ind w:right="-108" w:firstLine="161" w:left="-161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Прибрані (приведені в належний санітарний та естетичний  стан)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>
                <w:rFonts w:eastAsia="Calibri"/>
                <w:sz w:val="24"/>
                <w:szCs w:val="24"/>
              </w:rPr>
            </w:pPr>
            <w:r>
              <w:t xml:space="preserve">Відре-монтовано (висадже-но), од.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Кількість населених пунктів у регіоні,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/>
              <w:ind w:left="-135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 xml:space="preserve">о</w:t>
            </w:r>
            <w:r>
              <w:rPr>
                <w:sz w:val="26"/>
                <w:szCs w:val="26"/>
              </w:rPr>
              <w:t xml:space="preserve">д</w:t>
            </w:r>
            <w:r>
              <w:rPr>
                <w:sz w:val="26"/>
                <w:szCs w:val="26"/>
                <w:lang w:val="uk-UA"/>
              </w:rPr>
              <w:t xml:space="preserve">.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26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  <w:lang w:val="uk-UA"/>
              </w:rPr>
            </w:pP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у т.ч. міст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од.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Ліквідовано несанкціонованих сміттєзвалищ,  у т.ч.: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шт</w:t>
            </w:r>
            <w:r>
              <w:rPr>
                <w:sz w:val="26"/>
                <w:szCs w:val="26"/>
                <w:lang w:val="uk-UA"/>
              </w:rPr>
              <w:t xml:space="preserve">.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 xml:space="preserve">81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  <w:lang w:val="uk-UA"/>
              </w:rPr>
            </w:pP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у межах смуг вулиць та доріг населених пунктів;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шт</w:t>
            </w:r>
            <w:r>
              <w:rPr>
                <w:sz w:val="26"/>
                <w:szCs w:val="26"/>
                <w:lang w:val="uk-UA"/>
              </w:rPr>
              <w:t xml:space="preserve">.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 xml:space="preserve">38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  <w:lang w:val="uk-UA"/>
              </w:rPr>
            </w:pP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на </w:t>
            </w:r>
            <w:r>
              <w:rPr>
                <w:sz w:val="26"/>
                <w:szCs w:val="26"/>
              </w:rPr>
              <w:t xml:space="preserve">прибудинкових територіях;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шт</w:t>
            </w:r>
            <w:r>
              <w:rPr>
                <w:sz w:val="26"/>
                <w:szCs w:val="26"/>
                <w:lang w:val="uk-UA"/>
              </w:rPr>
              <w:t xml:space="preserve">.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 xml:space="preserve">22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</w:tr>
      <w:tr>
        <w:trPr>
          <w:trHeight w:val="6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  <w:lang w:val="uk-UA"/>
              </w:rPr>
            </w:pP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на  пустирях в межах населених пунктів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шт</w:t>
            </w:r>
            <w:r>
              <w:rPr>
                <w:sz w:val="26"/>
                <w:szCs w:val="26"/>
                <w:lang w:val="uk-UA"/>
              </w:rPr>
              <w:t xml:space="preserve">.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 xml:space="preserve">21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Обсяг зібраних побутових відходів на несанкціонованих сміттєзвалищах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тис.м</w:t>
            </w:r>
            <w:r>
              <w:rPr>
                <w:sz w:val="26"/>
                <w:szCs w:val="26"/>
                <w:vertAlign w:val="superscript"/>
              </w:rPr>
              <w:t xml:space="preserve">3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0,</w:t>
            </w:r>
            <w:r>
              <w:rPr>
                <w:sz w:val="26"/>
                <w:szCs w:val="26"/>
                <w:lang w:val="uk-UA"/>
              </w:rPr>
              <w:t xml:space="preserve">203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</w:tr>
      <w:tr>
        <w:trPr>
          <w:trHeight w:val="45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  <w:p>
            <w:pPr>
              <w:pBdr/>
              <w:spacing/>
              <w:in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Bdr/>
              <w:spacing/>
              <w:in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Bdr/>
              <w:spacing/>
              <w:in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Bdr/>
              <w:spacing/>
              <w:in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Bdr/>
              <w:spacing/>
              <w:in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Підтримка технічного  та санітарного стану: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  <w:p>
            <w:pPr>
              <w:pBdr/>
              <w:spacing/>
              <w:in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</w:tr>
      <w:tr>
        <w:trPr>
          <w:trHeight w:val="45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  <w:lang w:val="uk-UA"/>
              </w:rPr>
            </w:pP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прибудинкових територій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тис.м</w:t>
            </w:r>
            <w:r>
              <w:rPr>
                <w:sz w:val="26"/>
                <w:szCs w:val="26"/>
                <w:vertAlign w:val="superscript"/>
              </w:rPr>
              <w:t xml:space="preserve">2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19379,264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19379,264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х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</w:tr>
      <w:tr>
        <w:trPr>
          <w:trHeight w:val="35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  <w:lang w:val="uk-UA"/>
              </w:rPr>
            </w:pP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парків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 w:hanging="108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од/тис.м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10/8360,2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10/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290</w:t>
            </w:r>
            <w:r>
              <w:rPr>
                <w:color w:val="000000"/>
                <w:sz w:val="26"/>
                <w:szCs w:val="26"/>
              </w:rPr>
              <w:t xml:space="preserve">,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1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</w:tr>
      <w:tr>
        <w:trPr>
          <w:trHeight w:val="36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  <w:lang w:val="uk-UA"/>
              </w:rPr>
            </w:pP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скверів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2"/>
                <w:szCs w:val="22"/>
              </w:rPr>
              <w:t xml:space="preserve">од/тис.м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3/77,8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3/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10</w:t>
            </w:r>
            <w:r>
              <w:rPr>
                <w:color w:val="000000"/>
                <w:sz w:val="26"/>
                <w:szCs w:val="26"/>
              </w:rPr>
              <w:t xml:space="preserve">,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2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</w:tr>
      <w:tr>
        <w:trPr>
          <w:trHeight w:val="40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  <w:lang w:val="uk-UA"/>
              </w:rPr>
            </w:pP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дитячих майданчиків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2"/>
                <w:szCs w:val="22"/>
              </w:rPr>
              <w:t xml:space="preserve">од/тис.м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95/9,</w:t>
            </w:r>
            <w:r>
              <w:rPr>
                <w:sz w:val="26"/>
                <w:szCs w:val="26"/>
                <w:lang w:val="uk-UA"/>
              </w:rPr>
              <w:t xml:space="preserve">623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95/9,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623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</w:tr>
      <w:tr>
        <w:trPr>
          <w:trHeight w:val="37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  <w:lang w:val="uk-UA"/>
              </w:rPr>
            </w:pP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спортивних майданчиків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2"/>
                <w:szCs w:val="22"/>
              </w:rPr>
              <w:t xml:space="preserve">од/тис.м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36/13,315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3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2/</w:t>
            </w:r>
            <w:r>
              <w:rPr>
                <w:color w:val="000000"/>
                <w:sz w:val="26"/>
                <w:szCs w:val="26"/>
              </w:rPr>
              <w:t xml:space="preserve">1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1</w:t>
            </w:r>
            <w:r>
              <w:rPr>
                <w:color w:val="000000"/>
                <w:sz w:val="26"/>
                <w:szCs w:val="26"/>
              </w:rPr>
              <w:t xml:space="preserve">,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31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</w:tr>
      <w:tr>
        <w:trPr>
          <w:trHeight w:val="37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  <w:lang w:val="uk-UA"/>
              </w:rPr>
            </w:pP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господарських майданчиків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2"/>
                <w:szCs w:val="22"/>
              </w:rPr>
              <w:t xml:space="preserve">од/тис.м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2/0,</w:t>
            </w:r>
            <w:r>
              <w:rPr>
                <w:sz w:val="26"/>
                <w:szCs w:val="26"/>
                <w:lang w:val="uk-UA"/>
              </w:rPr>
              <w:t xml:space="preserve">80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2/0,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80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</w:tr>
      <w:tr>
        <w:trPr>
          <w:trHeight w:val="37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  <w:lang w:val="uk-UA"/>
              </w:rPr>
            </w:pP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pBdr/>
              <w:tabs>
                <w:tab w:val="num" w:leader="none" w:pos="250"/>
                <w:tab w:val="num" w:leader="none" w:pos="308"/>
                <w:tab w:val="clear" w:leader="none" w:pos="720"/>
              </w:tabs>
              <w:spacing/>
              <w:ind w:hanging="720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місць вигулу домашніх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  <w:p>
            <w:pPr>
              <w:pBdr/>
              <w:tabs>
                <w:tab w:val="num" w:leader="none" w:pos="308"/>
              </w:tabs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тварин (собак)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 w:hanging="108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од/тис.м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 xml:space="preserve">-</w:t>
            </w:r>
            <w:r>
              <w:rPr>
                <w:rFonts w:eastAsia="Calibri"/>
                <w:color w:val="ff0000"/>
                <w:sz w:val="26"/>
                <w:szCs w:val="26"/>
              </w:rPr>
            </w:r>
            <w:r>
              <w:rPr>
                <w:rFonts w:eastAsia="Calibri"/>
                <w:color w:val="ff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</w:tr>
      <w:tr>
        <w:trPr>
          <w:trHeight w:val="45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Зелені насадження загального  користування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х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х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</w:tr>
      <w:tr>
        <w:trPr>
          <w:trHeight w:val="45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  <w:lang w:val="uk-UA"/>
              </w:rPr>
            </w:pP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-    дерева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тис.шт.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1,</w:t>
            </w:r>
            <w:r>
              <w:rPr>
                <w:sz w:val="26"/>
                <w:szCs w:val="26"/>
                <w:lang w:val="uk-UA"/>
              </w:rPr>
              <w:t xml:space="preserve">447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0,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410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0,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69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</w:tr>
      <w:tr>
        <w:trPr>
          <w:trHeight w:val="33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  <w:lang w:val="uk-UA"/>
              </w:rPr>
            </w:pP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numPr>
                <w:ilvl w:val="0"/>
                <w:numId w:val="4"/>
              </w:num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кущі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тис.шт.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0,</w:t>
            </w:r>
            <w:r>
              <w:rPr>
                <w:sz w:val="26"/>
                <w:szCs w:val="26"/>
                <w:lang w:val="uk-UA"/>
              </w:rPr>
              <w:t xml:space="preserve">747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0,3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10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0,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301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</w:tr>
      <w:tr>
        <w:trPr>
          <w:trHeight w:val="33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  <w:lang w:val="uk-UA"/>
              </w:rPr>
            </w:pP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numPr>
                <w:ilvl w:val="0"/>
                <w:numId w:val="4"/>
              </w:num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газони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тис.м</w:t>
            </w:r>
            <w:r>
              <w:rPr>
                <w:sz w:val="26"/>
                <w:szCs w:val="26"/>
                <w:vertAlign w:val="superscript"/>
              </w:rPr>
              <w:t xml:space="preserve">2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14,11</w:t>
            </w:r>
            <w:r>
              <w:rPr>
                <w:sz w:val="26"/>
                <w:szCs w:val="26"/>
                <w:lang w:val="uk-UA"/>
              </w:rPr>
              <w:t xml:space="preserve">2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14,11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2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</w:tr>
      <w:tr>
        <w:trPr>
          <w:trHeight w:val="39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  <w:lang w:val="uk-UA"/>
              </w:rPr>
            </w:pP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numPr>
                <w:ilvl w:val="0"/>
                <w:numId w:val="4"/>
              </w:num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квітники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тис.м</w:t>
            </w:r>
            <w:r>
              <w:rPr>
                <w:sz w:val="26"/>
                <w:szCs w:val="26"/>
                <w:vertAlign w:val="superscript"/>
              </w:rPr>
              <w:t xml:space="preserve">2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1,</w:t>
            </w:r>
            <w:r>
              <w:rPr>
                <w:sz w:val="26"/>
                <w:szCs w:val="26"/>
                <w:lang w:val="uk-UA"/>
              </w:rPr>
              <w:t xml:space="preserve">388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1,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388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 xml:space="preserve">0,060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</w:tr>
      <w:tr>
        <w:trPr>
          <w:trHeight w:val="35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6.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Утримання місць для  поховання: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х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х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</w:tr>
      <w:tr>
        <w:trPr>
          <w:trHeight w:val="35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  <w:lang w:val="uk-UA"/>
              </w:rPr>
            </w:pP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numPr>
                <w:ilvl w:val="0"/>
                <w:numId w:val="4"/>
              </w:num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кладовищ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од/га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28/91,8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28/91,8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</w:tr>
      <w:tr>
        <w:trPr>
          <w:trHeight w:val="35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  <w:lang w:val="uk-UA"/>
              </w:rPr>
            </w:pP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numPr>
                <w:ilvl w:val="0"/>
                <w:numId w:val="4"/>
              </w:num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братських могил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од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11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11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</w:tr>
      <w:tr>
        <w:trPr>
          <w:trHeight w:val="35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  <w:lang w:val="uk-UA"/>
              </w:rPr>
            </w:pP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numPr>
                <w:ilvl w:val="0"/>
                <w:numId w:val="4"/>
              </w:num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меморіальних комплексів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од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3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</w:tr>
      <w:tr>
        <w:trPr>
          <w:trHeight w:val="35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  <w:lang w:val="uk-UA"/>
              </w:rPr>
            </w:pP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numPr>
                <w:ilvl w:val="0"/>
                <w:numId w:val="4"/>
              </w:num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місць почесних поховань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од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19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19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</w:tr>
      <w:tr>
        <w:trPr>
          <w:trHeight w:val="60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7.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Прибирання та </w:t>
            </w:r>
            <w:r>
              <w:rPr>
                <w:sz w:val="26"/>
                <w:szCs w:val="26"/>
              </w:rPr>
              <w:t xml:space="preserve">впорядкування вулиць та доріг населених пунктів, зокрема: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  <w:p>
            <w:pPr>
              <w:pBdr/>
              <w:spacing/>
              <w:in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Bdr/>
              <w:spacing/>
              <w:in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х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х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</w:tr>
      <w:tr>
        <w:trPr>
          <w:trHeight w:val="38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  <w:lang w:val="uk-UA"/>
              </w:rPr>
            </w:pP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-    доріг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тис.м</w:t>
            </w:r>
            <w:r>
              <w:rPr>
                <w:sz w:val="26"/>
                <w:szCs w:val="26"/>
                <w:vertAlign w:val="superscript"/>
              </w:rPr>
              <w:t xml:space="preserve">2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2188,463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 xml:space="preserve">206,018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</w:tr>
      <w:tr>
        <w:trPr>
          <w:trHeight w:val="35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  <w:lang w:val="uk-UA"/>
              </w:rPr>
            </w:pP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numPr>
                <w:ilvl w:val="0"/>
                <w:numId w:val="4"/>
              </w:num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тротуарів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тис.м</w:t>
            </w:r>
            <w:r>
              <w:rPr>
                <w:sz w:val="26"/>
                <w:szCs w:val="26"/>
                <w:vertAlign w:val="superscript"/>
              </w:rPr>
              <w:t xml:space="preserve">2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416,5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 xml:space="preserve">205,00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</w:tr>
      <w:tr>
        <w:trPr>
          <w:trHeight w:val="33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  <w:lang w:val="uk-UA"/>
              </w:rPr>
            </w:pP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numPr>
                <w:ilvl w:val="0"/>
                <w:numId w:val="4"/>
              </w:num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велосипедних доріжок   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тис.м</w:t>
            </w:r>
            <w:r>
              <w:rPr>
                <w:sz w:val="26"/>
                <w:szCs w:val="26"/>
                <w:vertAlign w:val="superscript"/>
              </w:rPr>
              <w:t xml:space="preserve">2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 xml:space="preserve">-</w:t>
            </w:r>
            <w:r>
              <w:rPr>
                <w:rFonts w:eastAsia="Calibri"/>
                <w:color w:val="ff0000"/>
                <w:sz w:val="26"/>
                <w:szCs w:val="26"/>
              </w:rPr>
            </w:r>
            <w:r>
              <w:rPr>
                <w:rFonts w:eastAsia="Calibri"/>
                <w:color w:val="ff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</w:tr>
      <w:tr>
        <w:trPr>
          <w:trHeight w:val="36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  <w:lang w:val="uk-UA"/>
              </w:rPr>
            </w:pP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numPr>
                <w:ilvl w:val="0"/>
                <w:numId w:val="4"/>
              </w:num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зупинок міського транспорту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один.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25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25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</w:tr>
      <w:tr>
        <w:trPr>
          <w:trHeight w:val="33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8.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Витрачено коштів на </w:t>
            </w:r>
            <w:r>
              <w:rPr>
                <w:sz w:val="26"/>
                <w:szCs w:val="26"/>
              </w:rPr>
              <w:t xml:space="preserve">благоустрій всього , у т.ч.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 w:hanging="108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млн.грн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х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х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</w:tr>
      <w:tr>
        <w:trPr>
          <w:trHeight w:val="35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  <w:lang w:val="uk-UA"/>
              </w:rPr>
            </w:pP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numPr>
                <w:ilvl w:val="0"/>
                <w:numId w:val="4"/>
              </w:num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бюджетних 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 w:hanging="108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млн.грн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  <w:lang w:val="uk-UA"/>
              </w:rPr>
            </w:pP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х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х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</w:tr>
      <w:tr>
        <w:trPr>
          <w:trHeight w:val="23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  <w:lang w:val="uk-UA"/>
              </w:rPr>
            </w:pP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numPr>
                <w:ilvl w:val="0"/>
                <w:numId w:val="4"/>
              </w:num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позабюджетних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 w:hanging="108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млн.грн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х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х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</w:tr>
      <w:tr>
        <w:trPr>
          <w:trHeight w:val="51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9. 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Протяжність очищених від сміття берегів водоймів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тис.м</w:t>
            </w:r>
            <w:r>
              <w:rPr>
                <w:sz w:val="26"/>
                <w:szCs w:val="26"/>
                <w:vertAlign w:val="superscript"/>
              </w:rPr>
              <w:t xml:space="preserve">2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0,</w:t>
            </w:r>
            <w:r>
              <w:rPr>
                <w:sz w:val="26"/>
                <w:szCs w:val="26"/>
                <w:lang w:val="uk-UA"/>
              </w:rPr>
              <w:t xml:space="preserve">4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х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х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</w:tr>
      <w:tr>
        <w:trPr>
          <w:trHeight w:val="51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10.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Кількість залученої до участі у весняних толоках громадськості, всього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  <w:p>
            <w:pPr>
              <w:pBdr/>
              <w:spacing/>
              <w:in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осіб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 xml:space="preserve">1100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  <w:p>
            <w:pPr>
              <w:pBdr/>
              <w:spacing/>
              <w:ind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х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  <w:p>
            <w:pPr>
              <w:pBdr/>
              <w:spacing/>
              <w:ind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х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</w:tr>
      <w:tr>
        <w:trPr>
          <w:trHeight w:val="9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  <w:lang w:val="uk-UA"/>
              </w:rPr>
            </w:pP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 т. ч. учнівської молоді,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осіб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 xml:space="preserve">40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х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х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</w:tr>
      <w:tr>
        <w:trPr>
          <w:trHeight w:val="7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  <w:lang w:val="uk-UA"/>
              </w:rPr>
            </w:pP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  <w:r>
              <w:rPr>
                <w:rFonts w:eastAsia="Calibri"/>
                <w:sz w:val="26"/>
                <w:szCs w:val="26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студентської молоді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осіб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 xml:space="preserve">110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х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х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</w:tr>
      <w:tr>
        <w:trPr>
          <w:trHeight w:val="99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3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11.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3" w:type="dxa"/>
            <w:textDirection w:val="lrTb"/>
            <w:noWrap w:val="false"/>
          </w:tcPr>
          <w:p>
            <w:pPr>
              <w:pBdr/>
              <w:spacing/>
              <w:ind w:right="-108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sz w:val="26"/>
                <w:szCs w:val="26"/>
              </w:rPr>
              <w:t xml:space="preserve">Відзначено громадян - найбільш активних учасників всеукраїнської   акції </w:t>
            </w:r>
            <w:r>
              <w:rPr>
                <w:rFonts w:eastAsia="Calibri"/>
                <w:b/>
                <w:bCs/>
                <w:sz w:val="28"/>
                <w:szCs w:val="28"/>
              </w:rPr>
            </w:r>
            <w:r>
              <w:rPr>
                <w:rFonts w:eastAsia="Calibri"/>
                <w:b/>
                <w:bCs/>
                <w:sz w:val="28"/>
                <w:szCs w:val="28"/>
              </w:rPr>
            </w:r>
          </w:p>
          <w:p>
            <w:pPr>
              <w:pBdr/>
              <w:spacing/>
              <w:ind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  <w:p>
            <w:pPr>
              <w:pBdr/>
              <w:spacing/>
              <w:ind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осіб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х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  <w:p>
            <w:pPr>
              <w:pBdr/>
              <w:spacing/>
              <w:ind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х</w:t>
            </w:r>
            <w:r>
              <w:rPr>
                <w:rFonts w:eastAsia="Calibri"/>
                <w:color w:val="000000"/>
                <w:sz w:val="26"/>
                <w:szCs w:val="26"/>
              </w:rPr>
            </w:r>
            <w:r>
              <w:rPr>
                <w:rFonts w:eastAsia="Calibri"/>
                <w:color w:val="000000"/>
                <w:sz w:val="26"/>
                <w:szCs w:val="26"/>
              </w:rPr>
            </w:r>
          </w:p>
        </w:tc>
      </w:tr>
    </w:tbl>
    <w:p>
      <w:pPr>
        <w:pBdr/>
        <w:spacing/>
        <w:ind/>
        <w:rPr>
          <w:lang w:val="uk-UA"/>
        </w:rPr>
      </w:pPr>
      <w:r>
        <w:rPr>
          <w:lang w:val="uk-UA"/>
        </w:rPr>
        <w:t xml:space="preserve">                </w:t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</w:t>
      </w:r>
      <w:r>
        <w:rPr>
          <w:lang w:val="uk-UA"/>
        </w:rPr>
      </w:r>
      <w:r>
        <w:rPr>
          <w:lang w:val="uk-UA"/>
        </w:rPr>
      </w:r>
    </w:p>
    <w:p>
      <w:pPr>
        <w:pStyle w:val="919"/>
        <w:pBdr/>
        <w:spacing/>
        <w:ind w:firstLine="720"/>
        <w:rPr/>
      </w:pPr>
      <w:r/>
      <w:r/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житлово-комунального господарства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благоустрою міської ради   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Ольга КАРАПТАН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993" w:right="707" w:bottom="851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2">
    <w:nsid w:val="775E1ED9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Times New Roman" w:hAnsi="Times New Roman" w:eastAsia="Times New Roman" w:cs="Times New Roman"/>
      </w:rPr>
      <w:start w:val="8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3">
    <w:nsid w:val="7B541757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Times New Roman" w:hAnsi="Times New Roman" w:eastAsia="Times New Roman" w:cs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</w:rPr>
      <w:start w:val="1"/>
      <w:suff w:val="tab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2" w:default="1">
    <w:name w:val="Normal"/>
    <w:qFormat/>
    <w:pPr>
      <w:pBdr/>
      <w:spacing/>
      <w:ind/>
    </w:pPr>
  </w:style>
  <w:style w:type="paragraph" w:styleId="713">
    <w:name w:val="Heading 1"/>
    <w:basedOn w:val="712"/>
    <w:next w:val="712"/>
    <w:link w:val="868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714">
    <w:name w:val="Heading 2"/>
    <w:basedOn w:val="712"/>
    <w:next w:val="712"/>
    <w:link w:val="869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715">
    <w:name w:val="Heading 3"/>
    <w:basedOn w:val="712"/>
    <w:next w:val="712"/>
    <w:link w:val="870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716">
    <w:name w:val="Heading 4"/>
    <w:basedOn w:val="712"/>
    <w:next w:val="712"/>
    <w:link w:val="871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paragraph" w:styleId="717">
    <w:name w:val="Heading 5"/>
    <w:basedOn w:val="712"/>
    <w:next w:val="712"/>
    <w:link w:val="872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/>
    </w:rPr>
  </w:style>
  <w:style w:type="paragraph" w:styleId="718">
    <w:name w:val="Heading 6"/>
    <w:basedOn w:val="712"/>
    <w:next w:val="712"/>
    <w:link w:val="873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/>
    </w:rPr>
  </w:style>
  <w:style w:type="paragraph" w:styleId="719">
    <w:name w:val="Heading 7"/>
    <w:basedOn w:val="712"/>
    <w:next w:val="712"/>
    <w:link w:val="874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/>
    </w:rPr>
  </w:style>
  <w:style w:type="paragraph" w:styleId="720">
    <w:name w:val="Heading 8"/>
    <w:basedOn w:val="712"/>
    <w:next w:val="712"/>
    <w:link w:val="875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/>
    </w:rPr>
  </w:style>
  <w:style w:type="paragraph" w:styleId="721">
    <w:name w:val="Heading 9"/>
    <w:basedOn w:val="712"/>
    <w:next w:val="712"/>
    <w:link w:val="876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/>
    </w:rPr>
  </w:style>
  <w:style w:type="character" w:styleId="722" w:default="1">
    <w:name w:val="Default Paragraph Font"/>
    <w:uiPriority w:val="1"/>
    <w:semiHidden/>
    <w:unhideWhenUsed/>
    <w:pPr>
      <w:pBdr/>
      <w:spacing/>
      <w:ind/>
    </w:pPr>
  </w:style>
  <w:style w:type="table" w:styleId="72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24" w:default="1">
    <w:name w:val="No List"/>
    <w:uiPriority w:val="99"/>
    <w:semiHidden/>
    <w:unhideWhenUsed/>
    <w:pPr>
      <w:pBdr/>
      <w:spacing/>
      <w:ind/>
    </w:pPr>
  </w:style>
  <w:style w:type="character" w:styleId="725" w:customStyle="1">
    <w:name w:val="Heading 1 Char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726" w:customStyle="1">
    <w:name w:val="Heading 2 Char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727" w:customStyle="1">
    <w:name w:val="Heading 3 Char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728" w:customStyle="1">
    <w:name w:val="Heading 4 Char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729" w:customStyle="1">
    <w:name w:val="Heading 5 Char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730" w:customStyle="1">
    <w:name w:val="Heading 6 Char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731" w:customStyle="1">
    <w:name w:val="Heading 7 Char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732" w:customStyle="1">
    <w:name w:val="Heading 8 Char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733" w:customStyle="1">
    <w:name w:val="Heading 9 Char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734" w:customStyle="1">
    <w:name w:val="Title Char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35" w:customStyle="1">
    <w:name w:val="Subtitle Char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character" w:styleId="736" w:customStyle="1">
    <w:name w:val="Quote Char"/>
    <w:uiPriority w:val="29"/>
    <w:pPr>
      <w:pBdr/>
      <w:spacing/>
      <w:ind/>
    </w:pPr>
    <w:rPr>
      <w:i/>
      <w:iCs/>
      <w:color w:val="404040"/>
    </w:rPr>
  </w:style>
  <w:style w:type="character" w:styleId="737" w:customStyle="1">
    <w:name w:val="Intense Quote Char"/>
    <w:uiPriority w:val="30"/>
    <w:pPr>
      <w:pBdr/>
      <w:spacing/>
      <w:ind/>
    </w:pPr>
    <w:rPr>
      <w:i/>
      <w:iCs/>
      <w:color w:val="365f91"/>
    </w:rPr>
  </w:style>
  <w:style w:type="character" w:styleId="738" w:customStyle="1">
    <w:name w:val="Header Char"/>
    <w:basedOn w:val="722"/>
    <w:uiPriority w:val="99"/>
    <w:pPr>
      <w:pBdr/>
      <w:spacing/>
      <w:ind/>
    </w:pPr>
  </w:style>
  <w:style w:type="character" w:styleId="739" w:customStyle="1">
    <w:name w:val="Footer Char"/>
    <w:basedOn w:val="722"/>
    <w:uiPriority w:val="99"/>
    <w:pPr>
      <w:pBdr/>
      <w:spacing/>
      <w:ind/>
    </w:pPr>
  </w:style>
  <w:style w:type="character" w:styleId="740" w:customStyle="1">
    <w:name w:val="Footnote Text Char"/>
    <w:uiPriority w:val="99"/>
    <w:semiHidden/>
    <w:pPr>
      <w:pBdr/>
      <w:spacing/>
      <w:ind/>
    </w:pPr>
    <w:rPr>
      <w:sz w:val="20"/>
      <w:szCs w:val="20"/>
    </w:rPr>
  </w:style>
  <w:style w:type="character" w:styleId="741" w:customStyle="1">
    <w:name w:val="Endnote Text Char"/>
    <w:uiPriority w:val="99"/>
    <w:semiHidden/>
    <w:pPr>
      <w:pBdr/>
      <w:spacing/>
      <w:ind/>
    </w:pPr>
    <w:rPr>
      <w:sz w:val="20"/>
      <w:szCs w:val="20"/>
    </w:rPr>
  </w:style>
  <w:style w:type="table" w:styleId="742">
    <w:name w:val="Table Grid"/>
    <w:basedOn w:val="723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 w:customStyle="1">
    <w:name w:val="Table Grid Light"/>
    <w:basedOn w:val="723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 w:customStyle="1">
    <w:name w:val="Plain Table 1"/>
    <w:basedOn w:val="723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 w:customStyle="1">
    <w:name w:val="Plain Table 2"/>
    <w:basedOn w:val="723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 w:customStyle="1">
    <w:name w:val="Plain Table 3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 w:customStyle="1">
    <w:name w:val="Plain Table 4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 w:customStyle="1">
    <w:name w:val="Plain Table 5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1 Light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 w:customStyle="1">
    <w:name w:val="Grid Table 1 Light - Accent 1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Grid Table 1 Light - Accent 2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 w:customStyle="1">
    <w:name w:val="Grid Table 1 Light - Accent 3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1 Light - Accent 4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1 Light - Accent 5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1 Light - Accent 6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2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 w:customStyle="1">
    <w:name w:val="Grid Table 2 - Accent 1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2 - Accent 2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 w:customStyle="1">
    <w:name w:val="Grid Table 2 - Accent 3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2 - Accent 4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2 - Accent 5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2 - Accent 6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3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3 - Accent 1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3 - Accent 2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 w:customStyle="1">
    <w:name w:val="Grid Table 3 - Accent 3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3 - Accent 4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3 - Accent 5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3 - Accent 6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4"/>
    <w:basedOn w:val="723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4 - Accent 1"/>
    <w:basedOn w:val="723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4 - Accent 2"/>
    <w:basedOn w:val="723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4 - Accent 3"/>
    <w:basedOn w:val="723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4 - Accent 4"/>
    <w:basedOn w:val="723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4 - Accent 5"/>
    <w:basedOn w:val="723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4 - Accent 6"/>
    <w:basedOn w:val="723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5 Dark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5 Dark- Accent 1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5 Dark - Accent 2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5 Dark - Accent 3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5 Dark- Accent 4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5 Dark - Accent 5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5 Dark - Accent 6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6 Colorful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6 Colorful - Accent 1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/>
      </w:rPr>
      <w:pPr>
        <w:pBdr/>
        <w:spacing/>
        <w:ind/>
      </w:pPr>
      <w:tblPr>
        <w:tblBorders/>
      </w:tbl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6 Colorful - Accent 2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6 Colorful - Accent 3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/>
      </w:rPr>
      <w:pPr>
        <w:pBdr/>
        <w:spacing/>
        <w:ind/>
      </w:pPr>
      <w:tblPr>
        <w:tblBorders/>
      </w:tbl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6 Colorful - Accent 4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Grid Table 6 Colorful - Accent 5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6 Colorful - Accent 6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7 Colorful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7 Colorful - Accent 1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a6bfd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6bfd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a6bfd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7 Colorful - Accent 2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7 Colorful - Accent 3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abb59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abb59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abb59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7 Colorful - Accent 4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Grid Table 7 Colorful - Accent 5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9d0d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9d0d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9d0d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Grid Table 7 Colorful - Accent 6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39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39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39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1 Light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List Table 1 Light - Accent 1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List Table 1 Light - Accent 2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List Table 1 Light - Accent 3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1 Light - Accent 4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1 Light - Accent 5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1 Light - Accent 6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2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List Table 2 - Accent 1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2 - Accent 2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List Table 2 - Accent 3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2 - Accent 4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2 - Accent 5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2 - Accent 6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3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3 - Accent 1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4" w:space="0"/>
          <w:right w:val="single" w:color="4f81bd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3 - Accent 2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4" w:space="0"/>
          <w:right w:val="single" w:color="d9969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List Table 3 - Accent 3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4" w:space="0"/>
          <w:right w:val="single" w:color="c3d69b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3 - Accent 4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4" w:space="0"/>
          <w:right w:val="single" w:color="b2a1c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3 - Accent 5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4" w:space="0"/>
          <w:right w:val="single" w:color="92ccdc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3 - Accent 6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4" w:space="0"/>
          <w:right w:val="single" w:color="fac09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4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4 - Accent 1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4 - Accent 2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4 - Accent 3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4 - Accent 4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4 - Accent 5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4 - Accent 6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5 Dark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5 Dark - Accent 1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5 Dark - Accent 2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5 Dark - Accent 3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5 Dark - Accent 4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5 Dark - Accent 5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5 Dark - Accent 6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6 Colorful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sz="4" w:space="0"/>
        <w:bottom w:val="single" w:color="7f7f7f" w:sz="4" w:space="0"/>
      </w:tblBorders>
    </w:tblPr>
    <w:tcPr>
      <w:tcBorders/>
    </w:tcPr>
    <w:tblStylePr w:type="band1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/>
      </w:rPr>
      <w:pPr>
        <w:pBdr/>
        <w:spacing/>
        <w:ind/>
      </w:pPr>
      <w:tblPr>
        <w:tblBorders/>
      </w:tbl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/>
      </w:rPr>
      <w:pPr>
        <w:pBdr/>
        <w:spacing/>
        <w:ind/>
      </w:pPr>
      <w:tblPr>
        <w:tblBorders/>
      </w:tblPr>
      <w:tcPr>
        <w:tcBorders>
          <w:top w:val="single" w:color="7f7f7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6 Colorful - Accent 1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sz="4" w:space="0"/>
        <w:bottom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/>
      </w:rPr>
      <w:pPr>
        <w:pBdr/>
        <w:spacing/>
        <w:ind/>
      </w:pPr>
      <w:tblPr>
        <w:tblBorders/>
      </w:tbl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/>
      </w:rPr>
      <w:pPr>
        <w:pBdr/>
        <w:spacing/>
        <w:ind/>
      </w:pPr>
      <w:tblPr>
        <w:tblBorders/>
      </w:tblPr>
      <w:tcPr>
        <w:tcBorders>
          <w:top w:val="single" w:color="4f81bd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6 Colorful - Accent 2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sz="4" w:space="0"/>
        <w:bottom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6 Colorful - Accent 3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sz="4" w:space="0"/>
        <w:bottom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/>
      </w:rPr>
      <w:pPr>
        <w:pBdr/>
        <w:spacing/>
        <w:ind/>
      </w:pPr>
      <w:tblPr>
        <w:tblBorders/>
      </w:tbl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/>
      </w:rPr>
      <w:pPr>
        <w:pBdr/>
        <w:spacing/>
        <w:ind/>
      </w:pPr>
      <w:tblPr>
        <w:tblBorders/>
      </w:tblPr>
      <w:tcPr>
        <w:tcBorders>
          <w:top w:val="single" w:color="c3d69b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6 Colorful - Accent 4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sz="4" w:space="0"/>
        <w:bottom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st Table 6 Colorful - Accent 5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sz="4" w:space="0"/>
        <w:bottom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/>
      </w:rPr>
      <w:pPr>
        <w:pBdr/>
        <w:spacing/>
        <w:ind/>
      </w:pPr>
      <w:tblPr>
        <w:tblBorders/>
      </w:tbl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/>
      </w:rPr>
      <w:pPr>
        <w:pBdr/>
        <w:spacing/>
        <w:ind/>
      </w:pPr>
      <w:tblPr>
        <w:tblBorders/>
      </w:tblPr>
      <w:tcPr>
        <w:tcBorders>
          <w:top w:val="single" w:color="92ccdc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6 Colorful - Accent 6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sz="4" w:space="0"/>
        <w:bottom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/>
      </w:rPr>
      <w:pPr>
        <w:pBdr/>
        <w:spacing/>
        <w:ind/>
      </w:pPr>
      <w:tblPr>
        <w:tblBorders/>
      </w:tbl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/>
      </w:rPr>
      <w:pPr>
        <w:pBdr/>
        <w:spacing/>
        <w:ind/>
      </w:pPr>
      <w:tblPr>
        <w:tblBorders/>
      </w:tblPr>
      <w:tcPr>
        <w:tcBorders>
          <w:top w:val="single" w:color="fac09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7 Colorful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7 Colorful - Accent 1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4f81b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4f81b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4f81b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7 Colorful - Accent 2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7 Colorful - Accent 3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c3d69b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3d69b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c3d69b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7 Colorful - Accent 4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List Table 7 Colorful - Accent 5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2ccdc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2ccdc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2ccdc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st Table 7 Colorful - Accent 6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0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0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0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ned - Accent"/>
    <w:basedOn w:val="723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ned - Accent 1"/>
    <w:basedOn w:val="723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ned - Accent 2"/>
    <w:basedOn w:val="723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ned - Accent 3"/>
    <w:basedOn w:val="723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ned - Accent 4"/>
    <w:basedOn w:val="723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Lined - Accent 5"/>
    <w:basedOn w:val="723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ned - Accent 6"/>
    <w:basedOn w:val="723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&amp; Lined - Accent"/>
    <w:basedOn w:val="723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Bordered &amp; Lined - Accent 1"/>
    <w:basedOn w:val="723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Bordered &amp; Lined - Accent 2"/>
    <w:basedOn w:val="723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Bordered &amp; Lined - Accent 3"/>
    <w:basedOn w:val="723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Bordered &amp; Lined - Accent 4"/>
    <w:basedOn w:val="723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 w:customStyle="1">
    <w:name w:val="Bordered &amp; Lined - Accent 5"/>
    <w:basedOn w:val="723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Bordered &amp; Lined - Accent 6"/>
    <w:basedOn w:val="723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Bordered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Bordered - Accent 1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Bordered - Accent 2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Bordered - Accent 3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Bordered - Accent 4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Bordered - Accent 5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Bordered - Accent 6"/>
    <w:basedOn w:val="72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8" w:customStyle="1">
    <w:name w:val="Заголовок 1 Знак"/>
    <w:link w:val="713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869" w:customStyle="1">
    <w:name w:val="Заголовок 2 Знак"/>
    <w:link w:val="714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870" w:customStyle="1">
    <w:name w:val="Заголовок 3 Знак"/>
    <w:link w:val="715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871" w:customStyle="1">
    <w:name w:val="Заголовок 4 Знак"/>
    <w:link w:val="716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872" w:customStyle="1">
    <w:name w:val="Заголовок 5 Знак"/>
    <w:link w:val="717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873" w:customStyle="1">
    <w:name w:val="Заголовок 6 Знак"/>
    <w:link w:val="718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874" w:customStyle="1">
    <w:name w:val="Заголовок 7 Знак"/>
    <w:link w:val="719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875" w:customStyle="1">
    <w:name w:val="Заголовок 8 Знак"/>
    <w:link w:val="720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876" w:customStyle="1">
    <w:name w:val="Заголовок 9 Знак"/>
    <w:link w:val="721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paragraph" w:styleId="877">
    <w:name w:val="Title"/>
    <w:basedOn w:val="712"/>
    <w:next w:val="712"/>
    <w:link w:val="878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8" w:customStyle="1">
    <w:name w:val="Название Знак"/>
    <w:link w:val="877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9">
    <w:name w:val="Subtitle"/>
    <w:basedOn w:val="712"/>
    <w:next w:val="712"/>
    <w:link w:val="880"/>
    <w:uiPriority w:val="11"/>
    <w:qFormat/>
    <w:pPr>
      <w:numPr>
        <w:ilvl w:val="1"/>
      </w:numPr>
      <w:pBdr/>
      <w:spacing/>
      <w:ind/>
    </w:pPr>
    <w:rPr>
      <w:color w:val="595959"/>
      <w:spacing w:val="15"/>
      <w:sz w:val="28"/>
      <w:szCs w:val="28"/>
    </w:rPr>
  </w:style>
  <w:style w:type="character" w:styleId="880" w:customStyle="1">
    <w:name w:val="Подзаголовок Знак"/>
    <w:link w:val="879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paragraph" w:styleId="881">
    <w:name w:val="Quote"/>
    <w:basedOn w:val="712"/>
    <w:next w:val="712"/>
    <w:link w:val="882"/>
    <w:uiPriority w:val="29"/>
    <w:qFormat/>
    <w:pPr>
      <w:pBdr/>
      <w:spacing w:before="160"/>
      <w:ind/>
      <w:jc w:val="center"/>
    </w:pPr>
    <w:rPr>
      <w:i/>
      <w:iCs/>
      <w:color w:val="404040"/>
    </w:rPr>
  </w:style>
  <w:style w:type="character" w:styleId="882" w:customStyle="1">
    <w:name w:val="Цитата 2 Знак"/>
    <w:link w:val="881"/>
    <w:uiPriority w:val="29"/>
    <w:pPr>
      <w:pBdr/>
      <w:spacing/>
      <w:ind/>
    </w:pPr>
    <w:rPr>
      <w:i/>
      <w:iCs/>
      <w:color w:val="404040"/>
    </w:rPr>
  </w:style>
  <w:style w:type="paragraph" w:styleId="883">
    <w:name w:val="List Paragraph"/>
    <w:basedOn w:val="712"/>
    <w:uiPriority w:val="34"/>
    <w:qFormat/>
    <w:pPr>
      <w:pBdr/>
      <w:spacing/>
      <w:ind w:left="720"/>
      <w:contextualSpacing w:val="true"/>
    </w:pPr>
  </w:style>
  <w:style w:type="character" w:styleId="884">
    <w:name w:val="Intense Emphasis"/>
    <w:uiPriority w:val="21"/>
    <w:qFormat/>
    <w:pPr>
      <w:pBdr/>
      <w:spacing/>
      <w:ind/>
    </w:pPr>
    <w:rPr>
      <w:i/>
      <w:iCs/>
      <w:color w:val="365f91"/>
    </w:rPr>
  </w:style>
  <w:style w:type="paragraph" w:styleId="885">
    <w:name w:val="Intense Quote"/>
    <w:basedOn w:val="712"/>
    <w:next w:val="712"/>
    <w:link w:val="886"/>
    <w:uiPriority w:val="30"/>
    <w:qFormat/>
    <w:pPr>
      <w:pBdr>
        <w:top w:val="single" w:color="365f91" w:sz="4" w:space="10"/>
        <w:bottom w:val="single" w:color="365f91" w:sz="4" w:space="10"/>
      </w:pBdr>
      <w:spacing w:after="360" w:before="360"/>
      <w:ind w:right="864" w:left="864"/>
      <w:jc w:val="center"/>
    </w:pPr>
    <w:rPr>
      <w:i/>
      <w:iCs/>
      <w:color w:val="365f91"/>
    </w:rPr>
  </w:style>
  <w:style w:type="character" w:styleId="886" w:customStyle="1">
    <w:name w:val="Выделенная цитата Знак"/>
    <w:link w:val="885"/>
    <w:uiPriority w:val="30"/>
    <w:pPr>
      <w:pBdr/>
      <w:spacing/>
      <w:ind/>
    </w:pPr>
    <w:rPr>
      <w:i/>
      <w:iCs/>
      <w:color w:val="365f91"/>
    </w:rPr>
  </w:style>
  <w:style w:type="character" w:styleId="887">
    <w:name w:val="Intense Reference"/>
    <w:uiPriority w:val="32"/>
    <w:qFormat/>
    <w:pPr>
      <w:pBdr/>
      <w:spacing/>
      <w:ind/>
    </w:pPr>
    <w:rPr>
      <w:b/>
      <w:bCs/>
      <w:smallCaps/>
      <w:color w:val="365f91"/>
      <w:spacing w:val="5"/>
    </w:rPr>
  </w:style>
  <w:style w:type="paragraph" w:styleId="888">
    <w:name w:val="No Spacing"/>
    <w:basedOn w:val="712"/>
    <w:qFormat/>
    <w:pPr>
      <w:pBdr/>
      <w:spacing/>
      <w:ind/>
    </w:pPr>
    <w:rPr>
      <w:rFonts w:ascii="Calibri" w:hAnsi="Calibri"/>
      <w:sz w:val="22"/>
      <w:szCs w:val="22"/>
      <w:lang w:eastAsia="en-US"/>
    </w:rPr>
  </w:style>
  <w:style w:type="character" w:styleId="889">
    <w:name w:val="Subtle Emphasis"/>
    <w:uiPriority w:val="19"/>
    <w:qFormat/>
    <w:pPr>
      <w:pBdr/>
      <w:spacing/>
      <w:ind/>
    </w:pPr>
    <w:rPr>
      <w:i/>
      <w:iCs/>
      <w:color w:val="404040"/>
    </w:rPr>
  </w:style>
  <w:style w:type="character" w:styleId="890">
    <w:name w:val="Emphasis"/>
    <w:uiPriority w:val="20"/>
    <w:qFormat/>
    <w:pPr>
      <w:pBdr/>
      <w:spacing/>
      <w:ind/>
    </w:pPr>
    <w:rPr>
      <w:i/>
      <w:iCs/>
    </w:rPr>
  </w:style>
  <w:style w:type="character" w:styleId="891">
    <w:name w:val="Strong"/>
    <w:qFormat/>
    <w:pPr>
      <w:pBdr/>
      <w:spacing/>
      <w:ind/>
    </w:pPr>
    <w:rPr>
      <w:b/>
      <w:bCs/>
    </w:rPr>
  </w:style>
  <w:style w:type="character" w:styleId="892">
    <w:name w:val="Subtle Reference"/>
    <w:uiPriority w:val="31"/>
    <w:qFormat/>
    <w:pPr>
      <w:pBdr/>
      <w:spacing/>
      <w:ind/>
    </w:pPr>
    <w:rPr>
      <w:smallCaps/>
      <w:color w:val="5a5a5a"/>
    </w:rPr>
  </w:style>
  <w:style w:type="character" w:styleId="893">
    <w:name w:val="Book Title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4">
    <w:name w:val="Header"/>
    <w:basedOn w:val="712"/>
    <w:link w:val="895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5" w:customStyle="1">
    <w:name w:val="Верхний колонтитул Знак"/>
    <w:basedOn w:val="722"/>
    <w:link w:val="894"/>
    <w:uiPriority w:val="99"/>
    <w:pPr>
      <w:pBdr/>
      <w:spacing/>
      <w:ind/>
    </w:pPr>
  </w:style>
  <w:style w:type="paragraph" w:styleId="896">
    <w:name w:val="Footer"/>
    <w:basedOn w:val="712"/>
    <w:link w:val="897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7" w:customStyle="1">
    <w:name w:val="Нижний колонтитул Знак"/>
    <w:basedOn w:val="722"/>
    <w:link w:val="896"/>
    <w:uiPriority w:val="99"/>
    <w:pPr>
      <w:pBdr/>
      <w:spacing/>
      <w:ind/>
    </w:pPr>
  </w:style>
  <w:style w:type="paragraph" w:styleId="898">
    <w:name w:val="Caption"/>
    <w:basedOn w:val="712"/>
    <w:next w:val="712"/>
    <w:uiPriority w:val="35"/>
    <w:unhideWhenUsed/>
    <w:qFormat/>
    <w:pPr>
      <w:pBdr/>
      <w:spacing w:after="200"/>
      <w:ind/>
    </w:pPr>
    <w:rPr>
      <w:i/>
      <w:iCs/>
      <w:color w:val="1f497d"/>
      <w:sz w:val="18"/>
      <w:szCs w:val="18"/>
    </w:rPr>
  </w:style>
  <w:style w:type="paragraph" w:styleId="899">
    <w:name w:val="footnote text"/>
    <w:basedOn w:val="712"/>
    <w:link w:val="900"/>
    <w:uiPriority w:val="99"/>
    <w:semiHidden/>
    <w:unhideWhenUsed/>
    <w:pPr>
      <w:pBdr/>
      <w:spacing/>
      <w:ind/>
    </w:pPr>
  </w:style>
  <w:style w:type="character" w:styleId="900" w:customStyle="1">
    <w:name w:val="Текст сноски Знак"/>
    <w:link w:val="899"/>
    <w:uiPriority w:val="99"/>
    <w:semiHidden/>
    <w:pPr>
      <w:pBdr/>
      <w:spacing/>
      <w:ind/>
    </w:pPr>
    <w:rPr>
      <w:sz w:val="20"/>
      <w:szCs w:val="20"/>
    </w:rPr>
  </w:style>
  <w:style w:type="character" w:styleId="901">
    <w:name w:val="foot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02">
    <w:name w:val="endnote text"/>
    <w:basedOn w:val="712"/>
    <w:link w:val="903"/>
    <w:uiPriority w:val="99"/>
    <w:semiHidden/>
    <w:unhideWhenUsed/>
    <w:pPr>
      <w:pBdr/>
      <w:spacing/>
      <w:ind/>
    </w:pPr>
  </w:style>
  <w:style w:type="character" w:styleId="903" w:customStyle="1">
    <w:name w:val="Текст концевой сноски Знак"/>
    <w:link w:val="902"/>
    <w:uiPriority w:val="99"/>
    <w:semiHidden/>
    <w:pPr>
      <w:pBdr/>
      <w:spacing/>
      <w:ind/>
    </w:pPr>
    <w:rPr>
      <w:sz w:val="20"/>
      <w:szCs w:val="20"/>
    </w:rPr>
  </w:style>
  <w:style w:type="character" w:styleId="904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character" w:styleId="905">
    <w:name w:val="Hyperlink"/>
    <w:uiPriority w:val="99"/>
    <w:unhideWhenUsed/>
    <w:pPr>
      <w:pBdr/>
      <w:spacing/>
      <w:ind/>
    </w:pPr>
    <w:rPr>
      <w:color w:val="0000ff"/>
      <w:u w:val="single"/>
    </w:rPr>
  </w:style>
  <w:style w:type="character" w:styleId="906">
    <w:name w:val="FollowedHyperlink"/>
    <w:uiPriority w:val="99"/>
    <w:semiHidden/>
    <w:unhideWhenUsed/>
    <w:pPr>
      <w:pBdr/>
      <w:spacing/>
      <w:ind/>
    </w:pPr>
    <w:rPr>
      <w:color w:val="800080"/>
      <w:u w:val="single"/>
    </w:rPr>
  </w:style>
  <w:style w:type="paragraph" w:styleId="907">
    <w:name w:val="toc 1"/>
    <w:basedOn w:val="712"/>
    <w:next w:val="712"/>
    <w:uiPriority w:val="39"/>
    <w:unhideWhenUsed/>
    <w:pPr>
      <w:pBdr/>
      <w:spacing w:after="100"/>
      <w:ind/>
    </w:pPr>
  </w:style>
  <w:style w:type="paragraph" w:styleId="908">
    <w:name w:val="toc 2"/>
    <w:basedOn w:val="712"/>
    <w:next w:val="712"/>
    <w:uiPriority w:val="39"/>
    <w:unhideWhenUsed/>
    <w:pPr>
      <w:pBdr/>
      <w:spacing w:after="100"/>
      <w:ind w:left="220"/>
    </w:pPr>
  </w:style>
  <w:style w:type="paragraph" w:styleId="909">
    <w:name w:val="toc 3"/>
    <w:basedOn w:val="712"/>
    <w:next w:val="712"/>
    <w:uiPriority w:val="39"/>
    <w:unhideWhenUsed/>
    <w:pPr>
      <w:pBdr/>
      <w:spacing w:after="100"/>
      <w:ind w:left="440"/>
    </w:pPr>
  </w:style>
  <w:style w:type="paragraph" w:styleId="910">
    <w:name w:val="toc 4"/>
    <w:basedOn w:val="712"/>
    <w:next w:val="712"/>
    <w:uiPriority w:val="39"/>
    <w:unhideWhenUsed/>
    <w:pPr>
      <w:pBdr/>
      <w:spacing w:after="100"/>
      <w:ind w:left="660"/>
    </w:pPr>
  </w:style>
  <w:style w:type="paragraph" w:styleId="911">
    <w:name w:val="toc 5"/>
    <w:basedOn w:val="712"/>
    <w:next w:val="712"/>
    <w:uiPriority w:val="39"/>
    <w:unhideWhenUsed/>
    <w:pPr>
      <w:pBdr/>
      <w:spacing w:after="100"/>
      <w:ind w:left="880"/>
    </w:pPr>
  </w:style>
  <w:style w:type="paragraph" w:styleId="912">
    <w:name w:val="toc 6"/>
    <w:basedOn w:val="712"/>
    <w:next w:val="712"/>
    <w:uiPriority w:val="39"/>
    <w:unhideWhenUsed/>
    <w:pPr>
      <w:pBdr/>
      <w:spacing w:after="100"/>
      <w:ind w:left="1100"/>
    </w:pPr>
  </w:style>
  <w:style w:type="paragraph" w:styleId="913">
    <w:name w:val="toc 7"/>
    <w:basedOn w:val="712"/>
    <w:next w:val="712"/>
    <w:uiPriority w:val="39"/>
    <w:unhideWhenUsed/>
    <w:pPr>
      <w:pBdr/>
      <w:spacing w:after="100"/>
      <w:ind w:left="1320"/>
    </w:pPr>
  </w:style>
  <w:style w:type="paragraph" w:styleId="914">
    <w:name w:val="toc 8"/>
    <w:basedOn w:val="712"/>
    <w:next w:val="712"/>
    <w:uiPriority w:val="39"/>
    <w:unhideWhenUsed/>
    <w:pPr>
      <w:pBdr/>
      <w:spacing w:after="100"/>
      <w:ind w:left="1540"/>
    </w:pPr>
  </w:style>
  <w:style w:type="paragraph" w:styleId="915">
    <w:name w:val="toc 9"/>
    <w:basedOn w:val="712"/>
    <w:next w:val="712"/>
    <w:uiPriority w:val="39"/>
    <w:unhideWhenUsed/>
    <w:pPr>
      <w:pBdr/>
      <w:spacing w:after="100"/>
      <w:ind w:left="1760"/>
    </w:pPr>
  </w:style>
  <w:style w:type="character" w:styleId="916">
    <w:name w:val="Placeholder Text"/>
    <w:uiPriority w:val="99"/>
    <w:semiHidden/>
    <w:pPr>
      <w:pBdr/>
      <w:spacing/>
      <w:ind/>
    </w:pPr>
    <w:rPr>
      <w:color w:val="666666"/>
    </w:rPr>
  </w:style>
  <w:style w:type="paragraph" w:styleId="917">
    <w:name w:val="TOC Heading"/>
    <w:uiPriority w:val="39"/>
    <w:unhideWhenUsed/>
    <w:pPr>
      <w:pBdr/>
      <w:spacing/>
      <w:ind/>
    </w:pPr>
    <w:rPr>
      <w:lang w:eastAsia="zh-CN"/>
    </w:rPr>
  </w:style>
  <w:style w:type="paragraph" w:styleId="918">
    <w:name w:val="table of figures"/>
    <w:basedOn w:val="712"/>
    <w:next w:val="712"/>
    <w:uiPriority w:val="99"/>
    <w:unhideWhenUsed/>
    <w:pPr>
      <w:pBdr/>
      <w:spacing/>
      <w:ind/>
    </w:pPr>
  </w:style>
  <w:style w:type="paragraph" w:styleId="919">
    <w:name w:val="Body Text"/>
    <w:basedOn w:val="712"/>
    <w:pPr>
      <w:pBdr/>
      <w:spacing/>
      <w:ind w:right="-2"/>
      <w:jc w:val="both"/>
    </w:pPr>
    <w:rPr>
      <w:sz w:val="28"/>
      <w:lang w:val="uk-UA"/>
    </w:rPr>
  </w:style>
  <w:style w:type="paragraph" w:styleId="920">
    <w:name w:val="Body Text 2"/>
    <w:basedOn w:val="712"/>
    <w:pPr>
      <w:pBdr/>
      <w:spacing/>
      <w:ind/>
    </w:pPr>
    <w:rPr>
      <w:sz w:val="28"/>
      <w:lang w:val="uk-UA"/>
    </w:rPr>
  </w:style>
  <w:style w:type="paragraph" w:styleId="921" w:customStyle="1">
    <w:name w:val="Знак"/>
    <w:basedOn w:val="712"/>
    <w:pPr>
      <w:pBdr/>
      <w:spacing/>
      <w:ind/>
    </w:pPr>
    <w:rPr>
      <w:rFonts w:ascii="Verdana" w:hAnsi="Verdana" w:cs="Verdana"/>
      <w:lang w:val="en-US" w:eastAsia="en-US"/>
    </w:rPr>
  </w:style>
  <w:style w:type="paragraph" w:styleId="922">
    <w:name w:val="Balloon Text"/>
    <w:basedOn w:val="712"/>
    <w:semiHidden/>
    <w:pPr>
      <w:pBdr/>
      <w:spacing/>
      <w:ind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16</cp:revision>
  <dcterms:created xsi:type="dcterms:W3CDTF">2025-06-02T10:19:00Z</dcterms:created>
  <dcterms:modified xsi:type="dcterms:W3CDTF">2026-06-11T10:50:22Z</dcterms:modified>
  <cp:version>983040</cp:version>
</cp:coreProperties>
</file>